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AF56EA">
        <w:trPr>
          <w:trHeight w:val="285"/>
        </w:trPr>
        <w:tc>
          <w:tcPr>
            <w:tcW w:w="14850" w:type="dxa"/>
            <w:shd w:val="clear" w:color="auto" w:fill="auto"/>
          </w:tcPr>
          <w:p w:rsidR="00AF56EA" w:rsidRDefault="006137A2" w:rsidP="006137A2">
            <w:pPr>
              <w:pStyle w:val="ParagraphStyle0"/>
              <w:jc w:val="left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 xml:space="preserve">                                               FINANCIJSKI PLAN EKONOMSKE ŠKOLE ŠIBENIK ZA </w:t>
            </w:r>
            <w:r w:rsidR="007418FE">
              <w:rPr>
                <w:rStyle w:val="CharacterStyle0"/>
              </w:rPr>
              <w:t xml:space="preserve"> 2024. I PROJEKCIJA ZA 2025. I 2026. GODINU</w:t>
            </w:r>
          </w:p>
        </w:tc>
      </w:tr>
    </w:tbl>
    <w:p w:rsidR="00AF56EA" w:rsidRDefault="00AF56EA">
      <w:pPr>
        <w:spacing w:line="15" w:lineRule="exact"/>
      </w:pPr>
    </w:p>
    <w:p w:rsidR="00AF56EA" w:rsidRDefault="00AF56EA">
      <w:pPr>
        <w:spacing w:line="1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AF56EA">
        <w:trPr>
          <w:trHeight w:val="285"/>
        </w:trPr>
        <w:tc>
          <w:tcPr>
            <w:tcW w:w="14850" w:type="dxa"/>
            <w:shd w:val="clear" w:color="auto" w:fill="auto"/>
            <w:vAlign w:val="center"/>
          </w:tcPr>
          <w:p w:rsidR="00AF56EA" w:rsidRDefault="007418FE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I. OPĆI DIO</w:t>
            </w:r>
          </w:p>
        </w:tc>
      </w:tr>
    </w:tbl>
    <w:p w:rsidR="00AF56EA" w:rsidRDefault="00AF56EA">
      <w:pPr>
        <w:spacing w:line="15" w:lineRule="exact"/>
      </w:pPr>
    </w:p>
    <w:p w:rsidR="00AF56EA" w:rsidRDefault="00AF56EA">
      <w:pPr>
        <w:spacing w:line="1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AF56EA">
        <w:trPr>
          <w:trHeight w:val="300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AF56EA" w:rsidRDefault="007418FE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A) SAŽETAK RAČUNA PRIHODA I RASHODA</w:t>
            </w:r>
          </w:p>
        </w:tc>
      </w:tr>
      <w:tr w:rsidR="00AF56EA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AF56EA">
            <w:pPr>
              <w:pStyle w:val="ParagraphStyle2"/>
              <w:rPr>
                <w:rStyle w:val="CharacterStyle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2022.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2025.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1.106.051,74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1.136.499,00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1.200.527,00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1.200.708,00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1.200.982,00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 PRIHODI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1.106.051,74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1.136.499,00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1.200.527,00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1.200.708,00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1.200.982,00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 PRIHODI OD PRODAJE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RASHODI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1.076.379,05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1.182.358,00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1.210.527,00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1.210.708,00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1.210.982,00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 RASHODI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1.050.135,87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1.165.134,00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1.193.303,00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1.193.484,00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1.193.758,00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 RASHODI ZA NABAVU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26.243,18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17.224,00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17.224,00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17.224,00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17.224,00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RAZLIKA - VIŠAK / MANJAK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29.672,69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- 45.859,00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- 10.000,00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- 10.000,00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- 10.000,00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</w:tbl>
    <w:p w:rsidR="00AF56EA" w:rsidRDefault="00AF56EA">
      <w:pPr>
        <w:spacing w:line="15" w:lineRule="exact"/>
      </w:pPr>
    </w:p>
    <w:p w:rsidR="00AF56EA" w:rsidRDefault="00AF56EA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AF56EA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AF56EA" w:rsidRDefault="007418FE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B) SAŽETAK RAČUNA FINANCIRANJA</w:t>
            </w:r>
          </w:p>
        </w:tc>
      </w:tr>
      <w:tr w:rsidR="00AF56EA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AF56EA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2022.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2025.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 PRIMICI OD FINANCIJSKE IMOVINE I ZADUŽIVANJA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 IZDACI ZA FINANCIJSKU IMOVINU I OTPLATE ZAJMOVA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56EA" w:rsidRDefault="007418FE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29.672,69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- 45.859,00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- 10.000,00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- 10.000,00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- 10.000,00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</w:tbl>
    <w:p w:rsidR="00AF56EA" w:rsidRDefault="00AF56EA">
      <w:pPr>
        <w:spacing w:line="15" w:lineRule="exact"/>
      </w:pPr>
    </w:p>
    <w:p w:rsidR="00AF56EA" w:rsidRDefault="00AF56EA">
      <w:pPr>
        <w:spacing w:line="3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AF56EA">
        <w:trPr>
          <w:trHeight w:val="300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AF56EA" w:rsidRDefault="007418FE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C) PRENESENI VIŠAK ILI PRENESENI MANJAK</w:t>
            </w:r>
          </w:p>
        </w:tc>
      </w:tr>
      <w:tr w:rsidR="00AF56EA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AF56EA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2022.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2025.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AF56EA" w:rsidRDefault="007418FE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20.000,00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10.000,00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57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</w:tbl>
    <w:p w:rsidR="00AF56EA" w:rsidRDefault="00AF56EA">
      <w:pPr>
        <w:spacing w:line="15" w:lineRule="exact"/>
      </w:pPr>
    </w:p>
    <w:p w:rsidR="00AF56EA" w:rsidRDefault="00AF56EA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AF56EA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AF56EA" w:rsidRDefault="007418FE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D) VIŠEGODIŠNJI PLAN URAVNOTEŽENJA</w:t>
            </w:r>
          </w:p>
        </w:tc>
      </w:tr>
      <w:tr w:rsidR="00AF56EA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AF56EA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2022.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2025.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6EA" w:rsidRDefault="007418FE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AF56EA" w:rsidRDefault="007418FE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20.000,00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10.000,00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40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AF56EA" w:rsidRDefault="007418FE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IZ PRETHODNE(IH) GODINE KOJI ĆE SE RASPOREDITI / POKRITI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530,89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45.859,00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10.000,00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10.000,00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AF56EA" w:rsidRDefault="007418FE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TEKUĆE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AF56EA" w:rsidRDefault="007418FE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  <w:tr w:rsidR="00AF56EA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F56EA" w:rsidRDefault="007418FE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AF56EA" w:rsidRDefault="007418FE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AF56EA" w:rsidRDefault="00AF56EA">
            <w:pPr>
              <w:rPr>
                <w:rStyle w:val="FakeCharacterStyle"/>
              </w:rPr>
            </w:pPr>
          </w:p>
        </w:tc>
      </w:tr>
    </w:tbl>
    <w:p w:rsidR="00AF56EA" w:rsidRDefault="00AF56EA">
      <w:pPr>
        <w:spacing w:line="15" w:lineRule="exact"/>
      </w:pPr>
    </w:p>
    <w:p w:rsidR="00AF56EA" w:rsidRDefault="00AF56EA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AF56EA">
        <w:trPr>
          <w:trHeight w:val="255"/>
        </w:trPr>
        <w:tc>
          <w:tcPr>
            <w:tcW w:w="14850" w:type="dxa"/>
            <w:shd w:val="clear" w:color="auto" w:fill="auto"/>
          </w:tcPr>
          <w:p w:rsidR="00AF56EA" w:rsidRDefault="007418FE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* Napomena: Iznosi u stupcima Izvršenje 2022. preračunavaju se iz kuna u eure prema fiksnom tečaju konverzije (1 EUR=7,53450 i po pravilima za preračunavanje i zaokruživanje.</w:t>
            </w:r>
          </w:p>
        </w:tc>
      </w:tr>
    </w:tbl>
    <w:p w:rsidR="00AF56EA" w:rsidRDefault="00AF56EA">
      <w:pPr>
        <w:spacing w:line="15" w:lineRule="exact"/>
      </w:pPr>
    </w:p>
    <w:sectPr w:rsidR="00AF56EA">
      <w:headerReference w:type="default" r:id="rId6"/>
      <w:footerReference w:type="default" r:id="rId7"/>
      <w:pgSz w:w="16833" w:h="11908" w:orient="landscape"/>
      <w:pgMar w:top="1020" w:right="850" w:bottom="102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4F" w:rsidRDefault="009C124F">
      <w:r>
        <w:separator/>
      </w:r>
    </w:p>
  </w:endnote>
  <w:endnote w:type="continuationSeparator" w:id="0">
    <w:p w:rsidR="009C124F" w:rsidRDefault="009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EA" w:rsidRDefault="00AF56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4F" w:rsidRDefault="009C124F">
      <w:r>
        <w:separator/>
      </w:r>
    </w:p>
  </w:footnote>
  <w:footnote w:type="continuationSeparator" w:id="0">
    <w:p w:rsidR="009C124F" w:rsidRDefault="009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EA" w:rsidRDefault="00AF56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6137A2"/>
    <w:rsid w:val="007418FE"/>
    <w:rsid w:val="009C124F"/>
    <w:rsid w:val="00AB0F80"/>
    <w:rsid w:val="00AF56EA"/>
    <w:rsid w:val="00C54CBE"/>
    <w:rsid w:val="00DF0100"/>
    <w:rsid w:val="00E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CA37-3B21-4910-A485-042219BF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  <w:jc w:val="right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  <w:jc w:val="both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/>
      <w:i/>
      <w:strike w:val="0"/>
      <w:noProof/>
      <w:color w:val="000000"/>
      <w:sz w:val="14"/>
      <w:szCs w:val="14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Windows korisnik</cp:lastModifiedBy>
  <cp:revision>2</cp:revision>
  <dcterms:created xsi:type="dcterms:W3CDTF">2024-01-05T10:17:00Z</dcterms:created>
  <dcterms:modified xsi:type="dcterms:W3CDTF">2024-01-05T10:17:00Z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